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15" w:rsidRDefault="00B01D15" w:rsidP="00B01D15">
      <w:pPr>
        <w:pageBreakBefore/>
        <w:jc w:val="right"/>
      </w:pPr>
      <w:r>
        <w:rPr>
          <w:rFonts w:ascii="Verdana" w:hAnsi="Verdana" w:cs="Verdana"/>
          <w:b/>
          <w:sz w:val="18"/>
          <w:szCs w:val="18"/>
        </w:rPr>
        <w:t>ZAŁĄCZNIK NR 1 DO SIWZ</w:t>
      </w:r>
    </w:p>
    <w:p w:rsidR="00B01D15" w:rsidRDefault="00B01D15" w:rsidP="00B01D15">
      <w:pPr>
        <w:rPr>
          <w:rFonts w:ascii="Verdana" w:hAnsi="Verdana" w:cs="Verdana"/>
          <w:b/>
          <w:bCs/>
          <w:sz w:val="20"/>
          <w:szCs w:val="20"/>
        </w:rPr>
      </w:pPr>
    </w:p>
    <w:p w:rsidR="00B01D15" w:rsidRDefault="00B01D15" w:rsidP="00B01D15">
      <w:pPr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OPIS PRZEDMIOTU ZAMÓWIENIA</w:t>
      </w:r>
    </w:p>
    <w:p w:rsidR="00B01D15" w:rsidRDefault="00B01D15" w:rsidP="00B01D15">
      <w:pPr>
        <w:jc w:val="center"/>
      </w:pPr>
    </w:p>
    <w:p w:rsidR="00B01D15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>1) Przedmiotem zamówienia dotyczy sukcesywnych dostaw artykułów spożywczych wraz z dowozem i wniesieniem w układzie zadaniowym.</w:t>
      </w:r>
    </w:p>
    <w:p w:rsidR="00B01D15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>2) Miejsce dostawy: magazyn</w:t>
      </w:r>
      <w:r w:rsidRPr="0069486F">
        <w:rPr>
          <w:rFonts w:ascii="Verdana" w:eastAsia="Arial" w:hAnsi="Verdana" w:cs="Verdana"/>
          <w:sz w:val="18"/>
          <w:szCs w:val="18"/>
        </w:rPr>
        <w:t xml:space="preserve"> Zespołu Szkół im. Macieja Rataja w Gościnie ul. IV Dywizji Wojska Polskiego 70 (stołówka internatu)</w:t>
      </w:r>
    </w:p>
    <w:p w:rsidR="00B01D15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3) Podział przedmiotu zamówienia na poszczególne części: </w:t>
      </w:r>
    </w:p>
    <w:p w:rsidR="00B01D15" w:rsidRPr="00F075FA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a) </w:t>
      </w:r>
      <w:r w:rsidRPr="008D220D">
        <w:rPr>
          <w:rFonts w:ascii="Verdana" w:eastAsia="Arial" w:hAnsi="Verdana" w:cs="Verdana"/>
          <w:b/>
          <w:sz w:val="18"/>
          <w:szCs w:val="18"/>
        </w:rPr>
        <w:t>Część I</w:t>
      </w:r>
      <w:r>
        <w:rPr>
          <w:rFonts w:ascii="Verdana" w:eastAsia="Arial" w:hAnsi="Verdana" w:cs="Verdana"/>
          <w:sz w:val="18"/>
          <w:szCs w:val="18"/>
        </w:rPr>
        <w:t xml:space="preserve"> - </w:t>
      </w:r>
      <w:r w:rsidRPr="00F075FA">
        <w:rPr>
          <w:rFonts w:ascii="Verdana" w:eastAsia="Arial" w:hAnsi="Verdana" w:cs="Verdana"/>
          <w:sz w:val="18"/>
          <w:szCs w:val="18"/>
        </w:rPr>
        <w:t>Artykuły sypkie, przetwory i przyprawy</w:t>
      </w:r>
      <w:r>
        <w:rPr>
          <w:rFonts w:ascii="Verdana" w:eastAsia="Arial" w:hAnsi="Verdana" w:cs="Verdana"/>
          <w:sz w:val="18"/>
          <w:szCs w:val="18"/>
        </w:rPr>
        <w:t xml:space="preserve"> – Załącznik nr 2A</w:t>
      </w:r>
      <w:r w:rsidRPr="00F075FA">
        <w:rPr>
          <w:rFonts w:ascii="Verdana" w:eastAsia="Arial" w:hAnsi="Verdana" w:cs="Verdana"/>
          <w:sz w:val="18"/>
          <w:szCs w:val="18"/>
        </w:rPr>
        <w:t>,</w:t>
      </w:r>
    </w:p>
    <w:p w:rsidR="00B01D15" w:rsidRPr="00F075FA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b) </w:t>
      </w:r>
      <w:r w:rsidRPr="008D220D">
        <w:rPr>
          <w:rFonts w:ascii="Verdana" w:eastAsia="Arial" w:hAnsi="Verdana" w:cs="Verdana"/>
          <w:b/>
          <w:sz w:val="18"/>
          <w:szCs w:val="18"/>
        </w:rPr>
        <w:t>Część II</w:t>
      </w:r>
      <w:r>
        <w:rPr>
          <w:rFonts w:ascii="Verdana" w:eastAsia="Arial" w:hAnsi="Verdana" w:cs="Verdana"/>
          <w:sz w:val="18"/>
          <w:szCs w:val="18"/>
        </w:rPr>
        <w:t xml:space="preserve"> - </w:t>
      </w:r>
      <w:r w:rsidRPr="00F075FA">
        <w:rPr>
          <w:rFonts w:ascii="Verdana" w:eastAsia="Arial" w:hAnsi="Verdana" w:cs="Verdana"/>
          <w:sz w:val="18"/>
          <w:szCs w:val="18"/>
        </w:rPr>
        <w:t>Mięso i przetwory oraz drób i przetwory</w:t>
      </w:r>
      <w:r>
        <w:rPr>
          <w:rFonts w:ascii="Verdana" w:eastAsia="Arial" w:hAnsi="Verdana" w:cs="Verdana"/>
          <w:sz w:val="18"/>
          <w:szCs w:val="18"/>
        </w:rPr>
        <w:t xml:space="preserve"> – Załącznik nr 2B</w:t>
      </w:r>
      <w:r w:rsidRPr="00F075FA">
        <w:rPr>
          <w:rFonts w:ascii="Verdana" w:eastAsia="Arial" w:hAnsi="Verdana" w:cs="Verdana"/>
          <w:sz w:val="18"/>
          <w:szCs w:val="18"/>
        </w:rPr>
        <w:t>,</w:t>
      </w:r>
    </w:p>
    <w:p w:rsidR="00B01D15" w:rsidRPr="00F075FA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c) </w:t>
      </w:r>
      <w:r w:rsidRPr="008D220D">
        <w:rPr>
          <w:rFonts w:ascii="Verdana" w:eastAsia="Arial" w:hAnsi="Verdana" w:cs="Verdana"/>
          <w:b/>
          <w:sz w:val="18"/>
          <w:szCs w:val="18"/>
        </w:rPr>
        <w:t>Część III</w:t>
      </w:r>
      <w:r>
        <w:rPr>
          <w:rFonts w:ascii="Verdana" w:eastAsia="Arial" w:hAnsi="Verdana" w:cs="Verdana"/>
          <w:sz w:val="18"/>
          <w:szCs w:val="18"/>
        </w:rPr>
        <w:t xml:space="preserve"> -</w:t>
      </w:r>
      <w:r w:rsidRPr="00F075FA">
        <w:rPr>
          <w:rFonts w:ascii="Verdana" w:eastAsia="Arial" w:hAnsi="Verdana" w:cs="Verdana"/>
          <w:sz w:val="18"/>
          <w:szCs w:val="18"/>
        </w:rPr>
        <w:t xml:space="preserve"> Nabiał</w:t>
      </w:r>
      <w:r>
        <w:rPr>
          <w:rFonts w:ascii="Verdana" w:eastAsia="Arial" w:hAnsi="Verdana" w:cs="Verdana"/>
          <w:sz w:val="18"/>
          <w:szCs w:val="18"/>
        </w:rPr>
        <w:t xml:space="preserve"> – Załącznik nr 2C</w:t>
      </w:r>
      <w:r w:rsidRPr="00F075FA">
        <w:rPr>
          <w:rFonts w:ascii="Verdana" w:eastAsia="Arial" w:hAnsi="Verdana" w:cs="Verdana"/>
          <w:sz w:val="18"/>
          <w:szCs w:val="18"/>
        </w:rPr>
        <w:t>,</w:t>
      </w:r>
    </w:p>
    <w:p w:rsidR="00B01D15" w:rsidRPr="00F075FA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d) </w:t>
      </w:r>
      <w:r w:rsidRPr="008D220D">
        <w:rPr>
          <w:rFonts w:ascii="Verdana" w:eastAsia="Arial" w:hAnsi="Verdana" w:cs="Verdana"/>
          <w:b/>
          <w:sz w:val="18"/>
          <w:szCs w:val="18"/>
        </w:rPr>
        <w:t>Część IV</w:t>
      </w:r>
      <w:r>
        <w:rPr>
          <w:rFonts w:ascii="Verdana" w:eastAsia="Arial" w:hAnsi="Verdana" w:cs="Verdana"/>
          <w:sz w:val="18"/>
          <w:szCs w:val="18"/>
        </w:rPr>
        <w:t xml:space="preserve"> -</w:t>
      </w:r>
      <w:r w:rsidRPr="00F075FA">
        <w:rPr>
          <w:rFonts w:ascii="Verdana" w:eastAsia="Arial" w:hAnsi="Verdana" w:cs="Verdana"/>
          <w:sz w:val="18"/>
          <w:szCs w:val="18"/>
        </w:rPr>
        <w:t xml:space="preserve"> Pieczywo i wyroby cukiernicze</w:t>
      </w:r>
      <w:r>
        <w:rPr>
          <w:rFonts w:ascii="Verdana" w:eastAsia="Arial" w:hAnsi="Verdana" w:cs="Verdana"/>
          <w:sz w:val="18"/>
          <w:szCs w:val="18"/>
        </w:rPr>
        <w:t xml:space="preserve"> – Załącznik nr 2D</w:t>
      </w:r>
      <w:r w:rsidRPr="00F075FA">
        <w:rPr>
          <w:rFonts w:ascii="Verdana" w:eastAsia="Arial" w:hAnsi="Verdana" w:cs="Verdana"/>
          <w:sz w:val="18"/>
          <w:szCs w:val="18"/>
        </w:rPr>
        <w:t>,</w:t>
      </w:r>
    </w:p>
    <w:p w:rsidR="00B01D15" w:rsidRPr="00F075FA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e) </w:t>
      </w:r>
      <w:r w:rsidRPr="008D220D">
        <w:rPr>
          <w:rFonts w:ascii="Verdana" w:eastAsia="Arial" w:hAnsi="Verdana" w:cs="Verdana"/>
          <w:b/>
          <w:sz w:val="18"/>
          <w:szCs w:val="18"/>
        </w:rPr>
        <w:t>Część V</w:t>
      </w:r>
      <w:r>
        <w:rPr>
          <w:rFonts w:ascii="Verdana" w:eastAsia="Arial" w:hAnsi="Verdana" w:cs="Verdana"/>
          <w:sz w:val="18"/>
          <w:szCs w:val="18"/>
        </w:rPr>
        <w:t xml:space="preserve"> -</w:t>
      </w:r>
      <w:r w:rsidRPr="00F075FA">
        <w:rPr>
          <w:rFonts w:ascii="Verdana" w:eastAsia="Arial" w:hAnsi="Verdana" w:cs="Verdana"/>
          <w:sz w:val="18"/>
          <w:szCs w:val="18"/>
        </w:rPr>
        <w:t xml:space="preserve"> Warzywa i owoce, jajka</w:t>
      </w:r>
      <w:r>
        <w:rPr>
          <w:rFonts w:ascii="Verdana" w:eastAsia="Arial" w:hAnsi="Verdana" w:cs="Verdana"/>
          <w:sz w:val="18"/>
          <w:szCs w:val="18"/>
        </w:rPr>
        <w:t xml:space="preserve"> – Załącznik nr 2E</w:t>
      </w:r>
      <w:r w:rsidRPr="00F075FA">
        <w:rPr>
          <w:rFonts w:ascii="Verdana" w:eastAsia="Arial" w:hAnsi="Verdana" w:cs="Verdana"/>
          <w:sz w:val="18"/>
          <w:szCs w:val="18"/>
        </w:rPr>
        <w:t>,</w:t>
      </w:r>
    </w:p>
    <w:p w:rsidR="00B01D15" w:rsidRPr="00F075FA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f) </w:t>
      </w:r>
      <w:r w:rsidRPr="008D220D">
        <w:rPr>
          <w:rFonts w:ascii="Verdana" w:eastAsia="Arial" w:hAnsi="Verdana" w:cs="Verdana"/>
          <w:b/>
          <w:sz w:val="18"/>
          <w:szCs w:val="18"/>
        </w:rPr>
        <w:t>Część VI</w:t>
      </w:r>
      <w:r>
        <w:rPr>
          <w:rFonts w:ascii="Verdana" w:eastAsia="Arial" w:hAnsi="Verdana" w:cs="Verdana"/>
          <w:sz w:val="18"/>
          <w:szCs w:val="18"/>
        </w:rPr>
        <w:t xml:space="preserve"> -</w:t>
      </w:r>
      <w:r w:rsidRPr="00F075FA">
        <w:rPr>
          <w:rFonts w:ascii="Verdana" w:eastAsia="Arial" w:hAnsi="Verdana" w:cs="Verdana"/>
          <w:sz w:val="18"/>
          <w:szCs w:val="18"/>
        </w:rPr>
        <w:t xml:space="preserve"> Ryby, przetwory z ryb</w:t>
      </w:r>
      <w:r>
        <w:rPr>
          <w:rFonts w:ascii="Verdana" w:eastAsia="Arial" w:hAnsi="Verdana" w:cs="Verdana"/>
          <w:sz w:val="18"/>
          <w:szCs w:val="18"/>
        </w:rPr>
        <w:t xml:space="preserve"> – Załącznik nr 2F</w:t>
      </w:r>
      <w:r w:rsidRPr="00F075FA">
        <w:rPr>
          <w:rFonts w:ascii="Verdana" w:eastAsia="Arial" w:hAnsi="Verdana" w:cs="Verdana"/>
          <w:sz w:val="18"/>
          <w:szCs w:val="18"/>
        </w:rPr>
        <w:t>,</w:t>
      </w:r>
    </w:p>
    <w:p w:rsidR="00B01D15" w:rsidRDefault="00B01D15" w:rsidP="00B01D15">
      <w:pPr>
        <w:pStyle w:val="Indeks"/>
        <w:spacing w:line="276" w:lineRule="auto"/>
        <w:jc w:val="both"/>
        <w:rPr>
          <w:rFonts w:ascii="Verdana" w:eastAsia="Arial" w:hAnsi="Verdana" w:cs="Verdana"/>
          <w:sz w:val="18"/>
          <w:szCs w:val="18"/>
        </w:rPr>
      </w:pPr>
      <w:r>
        <w:rPr>
          <w:rFonts w:ascii="Verdana" w:eastAsia="Arial" w:hAnsi="Verdana" w:cs="Verdana"/>
          <w:sz w:val="18"/>
          <w:szCs w:val="18"/>
        </w:rPr>
        <w:t xml:space="preserve">g) </w:t>
      </w:r>
      <w:r w:rsidRPr="008D220D">
        <w:rPr>
          <w:rFonts w:ascii="Verdana" w:eastAsia="Arial" w:hAnsi="Verdana" w:cs="Verdana"/>
          <w:b/>
          <w:sz w:val="18"/>
          <w:szCs w:val="18"/>
        </w:rPr>
        <w:t>Część VII</w:t>
      </w:r>
      <w:r>
        <w:rPr>
          <w:rFonts w:ascii="Verdana" w:eastAsia="Arial" w:hAnsi="Verdana" w:cs="Verdana"/>
          <w:sz w:val="18"/>
          <w:szCs w:val="18"/>
        </w:rPr>
        <w:t xml:space="preserve"> - Artykuły mrożone – Załącznik nr 2G.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241D01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4) 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Zastosowanie wskazanych w dokumentacji Zamawiającego preferencji opisujących wymagania odnoszące się do cech jakościowych przedmiotu zamówienia – podyktowane jest zapewnieniem preferowanej dla przedmiotu zamówienia najwyższej, jakości.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5) Zamawiający dopuszcza rozwiązania równoważne. Wykonawca, który w ofercie powoła się na zastosowanie rozwiązań równoważnych opisywanym w niniejszej SIWZ przez Zamawiającego, zobowiązany jest wykazać, że oferowane przez niego produkty posiadają cechy nie gorsze niż wskazane w SIWZ oraz o właściwościach jakościowych takich samych lub zbliżonych do tych, które zostały opisane w SIWZ, lecz oznaczone innym znakiem towarowym, patentem lub pochodzeniem, gwarantujące wysoką jakość oraz zapewniające uzyskanie parametrów jakościowych nie gorszych niż określone w niniejszej SIWZ. </w:t>
      </w:r>
      <w:r w:rsidRPr="00B55C46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 xml:space="preserve">Oferując artykuł równoważny wykonawca zobowiązany jest wpisać jego nazwę handlową oraz jego producenta w kolumnie uwagi w formularzach asortymentowych dla poszczególnych </w:t>
      </w:r>
      <w:r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części</w:t>
      </w:r>
      <w:r w:rsidRPr="00B55C46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 xml:space="preserve">. 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B55C46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W przypadku zaproponowania gramatury zbliżonej do oczekiwanej przez Zamawiającego, obowiązkiem wykonawcy będzie dokonanie stosownych przeliczeń i zaoferowanie ilości produktu w innym opakowaniu (zbliżonej wielkości),</w:t>
      </w:r>
      <w:r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 xml:space="preserve"> która pokryje zapotrzebowanie </w:t>
      </w:r>
      <w:r w:rsidRPr="00B55C46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Zamawiającego określone w formularzu asortymentowym.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6) Dokładny rodzaj, nazwa asortymentu, przewidywane ilości zawarte są w treści Załącznika nr 2A, 2B, 2C, 2D, 2E, 2F, 2G do SIWZ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Zamawiający zastrzega sobie prawo do zmian proporcji w zamawianych asortymentach w przypadku różnic w planowanym obłożeniu internatu, czy też zmian ilości zamawianych posiłków. Zamawiający zastrzega sobie prawo do zmniejszenia lub zwiększenia ilości zamówionego towaru do wysokości 30% .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Zamawiający zastrzega sobie prawo do zmniejszenia ilości zamówionego towaru z powodu panującej obecnie pandemii koronawirusa Sars-Cov2 (przy obostrzeniach, kiedy nie ma młodzieży w jednostce).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B55C46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7) Wymagania w zakresie opakowań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– pojemniki plastikowe, z pokrywkami, czyste, bez obcych zapachów, powinny być przeznaczone tylko do jednego asortymentu, elementy powinny być ułożone w opakowaniu w sposób niepowodujący deformacji i zapewniający estetyczny wygląd gotowego wyboru.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B55C46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8) Wymagania w zakresie opakowań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– każde opakowanie musi zawierać następujące dane: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a) nazwę środka spożywczego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b) dotyczące składników występujących w środku spożywczym,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lastRenderedPageBreak/>
        <w:t>c) datę minimalnej trwałości albo termin przydatności do spożycia,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d) dane identyfikujące: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- producenta środka spożywczego,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- kraj, w którym wyprodukowano środek spożywczy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- zawartość netto lub liczbę sztuk środka spożywczego w opakowaniu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- warunki przechowywania ( w przypadku gdy jego jakość zależy od jego przechowywania)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- oznaczenie partii produkcji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- klasę jakości handlowej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B55C46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8) Wymagania w zakresie transportu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– Wykonawca zobowiązany jest przewozić artykuły objęte przedmiotem zamówienia publicznego transportem dopuszczonym przez SANEPID, zgodnie z ustawą o bezpieczeństwie żywności i żywienia oraz Rozporządzeniem (WE) nr 852/2004 z dnia 29 kwietnia 2004 r. w sprawie higieny środków spożywczych, Rozporządzeniem (WE) nr 853/2004 z dnia 29 kwietnia 2004 r. dotyczące higieny w odniesieniu do żywności pochodzenia zwierzęcego.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</w:pPr>
      <w:r w:rsidRPr="00B55C46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9) Wymagania w zakresie wszystkich produktów: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a) produkty wytwarzane będą zgodnie z ustawą o bezpieczeństwie żywności i żywienia oraz rozporządzeniami Wykonawczymi wydanymi na jego podstawie,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b) każdy produkt – realizowany będzie zgodnie z normami jakościowymi GHP, GMP lub systemem HACCP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c) każdy dostarczony produkt ma być I kl.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</w:pPr>
      <w:r w:rsidRPr="00B55C46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10) Cechy dyskwalifikacyjne: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a) w zakresie wszystkich produktów: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nalot lub objaw pleśni, gnicia lub zaparzenia, zbite, nadtłuczone skorupki obecność szkodników oraz ich pozostałości, brak oznakowania opakowań, uszkodzenia mechaniczne,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b) wspólne dla mięsa: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oślizgłość, nalot pleśni, zazielenienie mięsa,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c) wspólne dla wędlin: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nalot pleśni, barwa szarozielona, obecność szkodników oraz ich pozostałości, brak oznakowania opakowań, ich uszkodzenia mechaniczne, zabrudzenie, zawilgocenie powierzchni,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d) wspólne dla ryb: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obce, kwaśne lub gorzkie posmaki, zapachy, oślizgłość, nalot lub objawy pleśni, zazielenienie, obecność szkodników oraz ich pozostałości, brak opakowań, ich uszkodzenia mechaniczne, zabrudzenia, zawilgocenie powierzchni,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e) wspólne dla art. n</w:t>
      </w: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abiałowych, spożywczych, jaj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0930E2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obce, kwaśne lub gorzkie posmaki, zapachy, oślizgłość, nalot lub objawy pleśni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, </w:t>
      </w:r>
      <w:r w:rsidRPr="000930E2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gnicia lub zaparzenia, zbite, nadtłuczone skorupki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, nieprawidłowa konsystencja, </w:t>
      </w:r>
      <w:r w:rsidRPr="000930E2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obecność szkodników oraz ich pozostałości, brak opakowań, ich uszkodzenia mechaniczne,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zerwanie plomby,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zabrudzenia, 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plamy na powierzchni oraz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zawilgocenie powierzchni,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lastRenderedPageBreak/>
        <w:t>f) wspólnie dla warzyw i owoców: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obce posmaki, zapachy,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oślizgłość, nalot lub objawy pleśni, gnicia lub zaparzenia,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miejsca obite, oznaki więdnięcia,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obecność szkodników oraz ich pozostałości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, muszą być wolne od zanieczyszczeń i uszkodzeń spowodowanych przez choroby, mróz i inne czynniki zewnętrzne</w:t>
      </w:r>
    </w:p>
    <w:p w:rsidR="00B01D15" w:rsidRPr="005E4930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</w:pPr>
      <w:r w:rsidRPr="005E4930">
        <w:rPr>
          <w:rFonts w:ascii="Verdana" w:eastAsia="Times-Roman" w:hAnsi="Verdana" w:cs="Verdana"/>
          <w:bCs/>
          <w:sz w:val="18"/>
          <w:szCs w:val="18"/>
          <w:u w:val="single"/>
          <w:lang w:eastAsia="en-US" w:bidi="en-US"/>
        </w:rPr>
        <w:t>g) wspólne dla mrożonek: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obce, kwaśne lub gorzkie posmaki, zapachy, ośli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zgłość, nalot lub objawy pleśni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, gnicia lub zaparzenia, zbite,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objawy rozmrożenia oraz zawilgocenia powierzchni, nieprawidłowa konsystencja,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obecność szkodników oraz ich pozostałości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, brak oznakowania opakowań, ich uszkodzenia mechaniczne, zerwanie plomby.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11.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Oferowane przez wykonawcę produkty spełniają wymagania określone: ustawą o bezpieczeństwie żywności i żywienia, ustawą o 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warunkach zdrowotnych żywności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i żywienia, ustawą o wymaganiach weterynaryjnych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dla produktów pochodzenia zwie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rzęcego.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12.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Artykuły spożywcze winny być oznaczone zgodnie z obowiązującymi przepisami prawa w tym zakresie, zawierać informacje tj. nazwę producenta, termin przydatności do spożycia, wa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gę, warunki przechowywania.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13.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Mięso musi być pochodzenia krajowego, nieuwodn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ione, z okresem ważności do spo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życia nie mniej niż pięć dni od daty dostawy do magazynu żywnościowego. 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Wędliny pochodzenia krajowego,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9 do 10 dni ważności określonej przez producenta.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14.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Produkty pochodzenia zwierzęcego muszą spełniać wymogi ustawy o wymaganiach weterynaryjnych dla tych produktów z dnia 29 stycznia 2009 r. Zakład produkcyjny musi być pod nadzorem weterynaryjnym i posiadać wpis do Rejestru Powiatowego Lekarza Weterynarii. Na żądanie Zamawiającego od chwili otwarcia ofert i przez okres trwania umowy Wykonawca dostarczy dokum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ent potwierdzający wpis do Reje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stru Powiatowego Lekarza Weterynarii.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15.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Mleko i przetwory mleczne muszą być dostarczane z terminem przydatności do spożycia nie krótszym niż pięć dni, licząc od daty dostawy do magazynu Zamawiającego.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16.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Dostarczone warzywa i  owoce muszą być świeże, bez uszkodzeń mechanicznych i biologicznych.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17.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Pieczywo oraz wyroby ciastkarskie powinny cechować się wysokimi walorami smakowymi. Dostarczona żywności musi być świeża z odpowiednim terminem przydatności do spożycia, zgodnie z obowiązującymi normami.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18.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Wykonawca zamówienia dostarcza zamówione asortymenty własnym transportem, na własny koszt i ryzyko.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19.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Ze względów logistycznych dostawy mogą się o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dbywać środkami transportu o ła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downości nie przekraczającej 3,5 tony.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20.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Dostawy odbywać się będą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</w:t>
      </w:r>
      <w:r w:rsidRPr="003228D6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codziennie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na podstawie </w:t>
      </w:r>
      <w:r w:rsidRPr="00727E3E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za</w:t>
      </w:r>
      <w:r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mówienia przekazywanego z jedno</w:t>
      </w:r>
      <w:r w:rsidRPr="00727E3E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dniowym wyprzedzeniem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, a w wyjątkowych sytuacjach nawet tego samego dnia.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22.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Zamówienia składane będą przez uprawnione osoby wskazane przez Zamawiającego w umowie.</w:t>
      </w:r>
    </w:p>
    <w:p w:rsidR="00B01D15" w:rsidRPr="00B55C46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23.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Zamówienia składane będą w sposób uzgodniony 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przez przedstawicieli Zamawiają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cego i Wykonawcy.</w:t>
      </w:r>
    </w:p>
    <w:p w:rsidR="00B01D15" w:rsidRPr="00727E3E" w:rsidRDefault="00B01D15" w:rsidP="00B01D15">
      <w:pPr>
        <w:jc w:val="both"/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24. </w:t>
      </w:r>
      <w:r w:rsidRPr="00727E3E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 xml:space="preserve">Dostawy realizowane będą w dni </w:t>
      </w:r>
      <w:r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robocze w godzinach od 6:00 do 8:0</w:t>
      </w:r>
      <w:r w:rsidRPr="00727E3E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0</w:t>
      </w:r>
    </w:p>
    <w:p w:rsidR="00B01D15" w:rsidRDefault="00B01D15" w:rsidP="00B01D15">
      <w:pPr>
        <w:jc w:val="both"/>
        <w:rPr>
          <w:rFonts w:ascii="Verdana" w:eastAsia="Times-Roman" w:hAnsi="Verdana" w:cs="Verdana"/>
          <w:bCs/>
          <w:sz w:val="18"/>
          <w:szCs w:val="18"/>
          <w:lang w:eastAsia="en-US" w:bidi="en-US"/>
        </w:rPr>
      </w:pP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lastRenderedPageBreak/>
        <w:t xml:space="preserve">25.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Zamawiający zastrzega sobie, w ramach konieczno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ści, prawo żądania natychmiasto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wego dokonania dostawy (w sytuacjach nadzwyc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zajnych), </w:t>
      </w:r>
      <w:r w:rsidRPr="00727E3E"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szybkość reakcji wykonawcy na tego typu zamówienie, stanowić będzie kryterium oceny ofert.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 Na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>jwy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żej zamawiający oceni ofertę, której wykonawca zaofe</w:t>
      </w:r>
      <w:r>
        <w:rPr>
          <w:rFonts w:ascii="Verdana" w:eastAsia="Times-Roman" w:hAnsi="Verdana" w:cs="Verdana"/>
          <w:bCs/>
          <w:sz w:val="18"/>
          <w:szCs w:val="18"/>
          <w:lang w:eastAsia="en-US" w:bidi="en-US"/>
        </w:rPr>
        <w:t xml:space="preserve">ruje, najkrótszy czas liczony </w:t>
      </w:r>
      <w:r w:rsidRPr="00B55C46">
        <w:rPr>
          <w:rFonts w:ascii="Verdana" w:eastAsia="Times-Roman" w:hAnsi="Verdana" w:cs="Verdana"/>
          <w:bCs/>
          <w:sz w:val="18"/>
          <w:szCs w:val="18"/>
          <w:lang w:eastAsia="en-US" w:bidi="en-US"/>
        </w:rPr>
        <w:t>w godzinach, od złożenia zapotrzebowania, w tym trybie, do zakończenia dostawy.</w:t>
      </w: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ind w:left="2832" w:firstLine="708"/>
        <w:contextualSpacing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ZATWIERDZAM:</w:t>
      </w: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B01D15" w:rsidRDefault="00B01D15" w:rsidP="00B01D15">
      <w:pPr>
        <w:spacing w:before="240" w:after="240"/>
        <w:contextualSpacing/>
        <w:jc w:val="both"/>
        <w:rPr>
          <w:rFonts w:ascii="Verdana" w:hAnsi="Verdana" w:cs="Verdana"/>
          <w:b/>
          <w:bCs/>
          <w:sz w:val="18"/>
          <w:szCs w:val="18"/>
        </w:rPr>
      </w:pPr>
    </w:p>
    <w:p w:rsidR="003E3E84" w:rsidRDefault="003E3E84"/>
    <w:sectPr w:rsidR="003E3E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84" w:rsidRDefault="003E3E84" w:rsidP="00B01D15">
      <w:pPr>
        <w:spacing w:after="0" w:line="240" w:lineRule="auto"/>
      </w:pPr>
      <w:r>
        <w:separator/>
      </w:r>
    </w:p>
  </w:endnote>
  <w:endnote w:type="continuationSeparator" w:id="1">
    <w:p w:rsidR="003E3E84" w:rsidRDefault="003E3E84" w:rsidP="00B0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54810971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01D15" w:rsidRDefault="00B01D15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Pr="00B01D15">
            <w:rPr>
              <w:rFonts w:asciiTheme="majorHAnsi" w:hAnsiTheme="majorHAnsi"/>
              <w:noProof/>
              <w:sz w:val="28"/>
              <w:szCs w:val="28"/>
            </w:rPr>
            <w:t>3</w:t>
          </w:r>
        </w:fldSimple>
      </w:p>
    </w:sdtContent>
  </w:sdt>
  <w:p w:rsidR="00B01D15" w:rsidRDefault="00B01D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84" w:rsidRDefault="003E3E84" w:rsidP="00B01D15">
      <w:pPr>
        <w:spacing w:after="0" w:line="240" w:lineRule="auto"/>
      </w:pPr>
      <w:r>
        <w:separator/>
      </w:r>
    </w:p>
  </w:footnote>
  <w:footnote w:type="continuationSeparator" w:id="1">
    <w:p w:rsidR="003E3E84" w:rsidRDefault="003E3E84" w:rsidP="00B01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1D15"/>
    <w:rsid w:val="003E3E84"/>
    <w:rsid w:val="00B0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rsid w:val="00B01D15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Nagwek">
    <w:name w:val="header"/>
    <w:basedOn w:val="Normalny"/>
    <w:link w:val="NagwekZnak"/>
    <w:uiPriority w:val="99"/>
    <w:semiHidden/>
    <w:unhideWhenUsed/>
    <w:rsid w:val="00B0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D15"/>
  </w:style>
  <w:style w:type="paragraph" w:styleId="Stopka">
    <w:name w:val="footer"/>
    <w:basedOn w:val="Normalny"/>
    <w:link w:val="StopkaZnak"/>
    <w:uiPriority w:val="99"/>
    <w:unhideWhenUsed/>
    <w:rsid w:val="00B01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7450</Characters>
  <Application>Microsoft Office Word</Application>
  <DocSecurity>0</DocSecurity>
  <Lines>62</Lines>
  <Paragraphs>17</Paragraphs>
  <ScaleCrop>false</ScaleCrop>
  <Company>Ministrerstwo Edukacji Narodowej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2020-11-24T08:28:00Z</dcterms:created>
  <dcterms:modified xsi:type="dcterms:W3CDTF">2020-11-24T08:30:00Z</dcterms:modified>
</cp:coreProperties>
</file>